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278FF">
      <w:pPr>
        <w:spacing w:before="480" w:after="480" w:line="288" w:lineRule="auto"/>
        <w:ind w:left="0"/>
      </w:pPr>
      <w:r>
        <w:rPr>
          <w:rFonts w:ascii="Arial" w:hAnsi="Arial" w:eastAsia="等线" w:cs="Arial"/>
          <w:b/>
          <w:sz w:val="52"/>
        </w:rPr>
        <w:t>Why Choose Us</w:t>
      </w:r>
    </w:p>
    <w:p w14:paraId="04CE9972">
      <w:pPr>
        <w:spacing w:before="120" w:after="120" w:line="288" w:lineRule="auto"/>
        <w:ind w:left="0"/>
        <w:jc w:val="left"/>
      </w:pPr>
    </w:p>
    <w:p w14:paraId="112D9A13">
      <w:pPr>
        <w:pBdr>
          <w:bottom w:val="single" w:color="DEE0E3" w:sz="2" w:space="0"/>
          <w:between w:val="single" w:color="DEE0E3" w:sz="2" w:space="0"/>
        </w:pBdr>
        <w:spacing w:before="120" w:after="120" w:line="288" w:lineRule="auto"/>
        <w:ind w:left="0"/>
      </w:pPr>
    </w:p>
    <w:p w14:paraId="40AB7C4F">
      <w:pPr>
        <w:spacing w:before="380" w:after="140" w:line="288" w:lineRule="auto"/>
        <w:ind w:left="0"/>
        <w:jc w:val="left"/>
        <w:outlineLvl w:val="0"/>
      </w:pPr>
      <w:bookmarkStart w:id="0" w:name="heading_0"/>
      <w:r>
        <w:rPr>
          <w:rFonts w:ascii="Arial" w:hAnsi="Arial" w:eastAsia="等线" w:cs="Arial"/>
          <w:b/>
          <w:sz w:val="36"/>
        </w:rPr>
        <w:t>Why Choose Us</w:t>
      </w:r>
      <w:bookmarkEnd w:id="0"/>
    </w:p>
    <w:p w14:paraId="7C375046">
      <w:pPr>
        <w:spacing w:before="120" w:after="120" w:line="288" w:lineRule="auto"/>
        <w:ind w:left="0"/>
        <w:jc w:val="left"/>
      </w:pPr>
      <w:r>
        <w:rPr>
          <w:rFonts w:ascii="Arial" w:hAnsi="Arial" w:eastAsia="等线" w:cs="Arial"/>
          <w:sz w:val="22"/>
        </w:rPr>
        <w:t>For years, we have focused solely on PCBA manufacturing and electronic assembly, building our expertise not just in production, but in solving the unique challenges that every project brings. Unlike generic PCB factories, we combine deep technical know-how, flexible supply chain capabilities, and a customer-first mindset to deliver solutions that are built for your specific needs—whether you’re launching a prototype, scaling to mass production, or optimizing for cost and reliability.</w:t>
      </w:r>
    </w:p>
    <w:p w14:paraId="2059F4E9">
      <w:pPr>
        <w:pBdr>
          <w:bottom w:val="single" w:color="DEE0E3" w:sz="2" w:space="0"/>
          <w:between w:val="single" w:color="DEE0E3" w:sz="2" w:space="0"/>
        </w:pBdr>
        <w:spacing w:before="120" w:after="120" w:line="288" w:lineRule="auto"/>
        <w:ind w:left="0"/>
      </w:pP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34FC69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43F1C11">
            <w:pPr>
              <w:spacing w:before="120" w:after="120" w:line="288" w:lineRule="auto"/>
              <w:ind w:left="0"/>
              <w:jc w:val="left"/>
            </w:pPr>
            <w:r>
              <w:rPr>
                <w:rFonts w:ascii="Arial" w:hAnsi="Arial" w:eastAsia="等线" w:cs="Arial"/>
                <w:sz w:val="22"/>
              </w:rPr>
              <w:t>Icon</w:t>
            </w:r>
          </w:p>
        </w:tc>
        <w:tc>
          <w:tcPr>
            <w:tcW w:w="2760" w:type="dxa"/>
            <w:tcMar>
              <w:top w:w="60" w:type="dxa"/>
              <w:left w:w="120" w:type="dxa"/>
              <w:bottom w:w="30" w:type="dxa"/>
              <w:right w:w="120" w:type="dxa"/>
            </w:tcMar>
          </w:tcPr>
          <w:p w14:paraId="73E35CBC">
            <w:pPr>
              <w:spacing w:before="120" w:after="120" w:line="288" w:lineRule="auto"/>
              <w:ind w:left="0"/>
              <w:jc w:val="left"/>
            </w:pPr>
            <w:r>
              <w:rPr>
                <w:rFonts w:ascii="Arial" w:hAnsi="Arial" w:eastAsia="等线" w:cs="Arial"/>
                <w:sz w:val="22"/>
              </w:rPr>
              <w:t>Statistic</w:t>
            </w:r>
          </w:p>
        </w:tc>
        <w:tc>
          <w:tcPr>
            <w:tcW w:w="2760" w:type="dxa"/>
            <w:tcMar>
              <w:top w:w="60" w:type="dxa"/>
              <w:left w:w="120" w:type="dxa"/>
              <w:bottom w:w="30" w:type="dxa"/>
              <w:right w:w="120" w:type="dxa"/>
            </w:tcMar>
          </w:tcPr>
          <w:p w14:paraId="2D056C0E">
            <w:pPr>
              <w:spacing w:before="120" w:after="120" w:line="288" w:lineRule="auto"/>
              <w:ind w:left="0"/>
              <w:jc w:val="left"/>
            </w:pPr>
            <w:r>
              <w:rPr>
                <w:rFonts w:ascii="Arial" w:hAnsi="Arial" w:eastAsia="等线" w:cs="Arial"/>
                <w:sz w:val="22"/>
              </w:rPr>
              <w:t>Description</w:t>
            </w:r>
          </w:p>
        </w:tc>
      </w:tr>
      <w:tr w14:paraId="2F910C7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3AA1E15">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049CCC6B">
            <w:pPr>
              <w:spacing w:before="120" w:after="120" w:line="288" w:lineRule="auto"/>
              <w:ind w:left="0"/>
              <w:jc w:val="left"/>
            </w:pPr>
            <w:r>
              <w:rPr>
                <w:rFonts w:ascii="Arial" w:hAnsi="Arial" w:eastAsia="等线" w:cs="Arial"/>
                <w:b/>
                <w:sz w:val="22"/>
              </w:rPr>
              <w:t>30+</w:t>
            </w:r>
          </w:p>
        </w:tc>
        <w:tc>
          <w:tcPr>
            <w:tcW w:w="2760" w:type="dxa"/>
            <w:tcMar>
              <w:top w:w="60" w:type="dxa"/>
              <w:left w:w="120" w:type="dxa"/>
              <w:bottom w:w="30" w:type="dxa"/>
              <w:right w:w="120" w:type="dxa"/>
            </w:tcMar>
          </w:tcPr>
          <w:p w14:paraId="06D20EA8">
            <w:pPr>
              <w:spacing w:before="120" w:after="120" w:line="288" w:lineRule="auto"/>
              <w:ind w:left="0"/>
              <w:jc w:val="left"/>
            </w:pPr>
            <w:r>
              <w:rPr>
                <w:rFonts w:ascii="Arial" w:hAnsi="Arial" w:eastAsia="等线" w:cs="Arial"/>
                <w:sz w:val="22"/>
              </w:rPr>
              <w:t>Countries we serve, with on-time delivery and full order visibility worldwide</w:t>
            </w:r>
          </w:p>
        </w:tc>
      </w:tr>
      <w:tr w14:paraId="7167FA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7F13E66">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54508985">
            <w:pPr>
              <w:spacing w:before="120" w:after="120" w:line="288" w:lineRule="auto"/>
              <w:ind w:left="0"/>
              <w:jc w:val="left"/>
            </w:pPr>
            <w:r>
              <w:rPr>
                <w:rFonts w:ascii="Arial" w:hAnsi="Arial" w:eastAsia="等线" w:cs="Arial"/>
                <w:b/>
                <w:sz w:val="22"/>
              </w:rPr>
              <w:t>100,000+</w:t>
            </w:r>
          </w:p>
        </w:tc>
        <w:tc>
          <w:tcPr>
            <w:tcW w:w="2760" w:type="dxa"/>
            <w:tcMar>
              <w:top w:w="60" w:type="dxa"/>
              <w:left w:w="120" w:type="dxa"/>
              <w:bottom w:w="30" w:type="dxa"/>
              <w:right w:w="120" w:type="dxa"/>
            </w:tcMar>
          </w:tcPr>
          <w:p w14:paraId="6AE7A063">
            <w:pPr>
              <w:spacing w:before="120" w:after="120" w:line="288" w:lineRule="auto"/>
              <w:ind w:left="0"/>
              <w:jc w:val="left"/>
            </w:pPr>
            <w:r>
              <w:rPr>
                <w:rFonts w:ascii="Arial" w:hAnsi="Arial" w:eastAsia="等线" w:cs="Arial"/>
                <w:sz w:val="22"/>
              </w:rPr>
              <w:t>Different components sourced and managed annually, including hard-to-find and obsolete parts</w:t>
            </w:r>
          </w:p>
        </w:tc>
      </w:tr>
      <w:tr w14:paraId="64077F9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315B9CD">
            <w:pPr>
              <w:spacing w:before="120" w:after="120" w:line="288" w:lineRule="auto"/>
              <w:ind w:left="0"/>
              <w:jc w:val="left"/>
            </w:pPr>
            <w:r>
              <w:rPr>
                <w:rFonts w:ascii="Arial" w:hAnsi="Arial" w:eastAsia="等线" w:cs="Arial"/>
                <w:sz w:val="22"/>
              </w:rPr>
              <w:t>✅</w:t>
            </w:r>
          </w:p>
        </w:tc>
        <w:tc>
          <w:tcPr>
            <w:tcW w:w="2760" w:type="dxa"/>
            <w:tcMar>
              <w:top w:w="60" w:type="dxa"/>
              <w:left w:w="120" w:type="dxa"/>
              <w:bottom w:w="30" w:type="dxa"/>
              <w:right w:w="120" w:type="dxa"/>
            </w:tcMar>
          </w:tcPr>
          <w:p w14:paraId="79F933AA">
            <w:pPr>
              <w:spacing w:before="120" w:after="120" w:line="288" w:lineRule="auto"/>
              <w:ind w:left="0"/>
              <w:jc w:val="left"/>
            </w:pPr>
            <w:r>
              <w:rPr>
                <w:rFonts w:ascii="Arial" w:hAnsi="Arial" w:eastAsia="等线" w:cs="Arial"/>
                <w:b/>
                <w:sz w:val="22"/>
              </w:rPr>
              <w:t>99.8%</w:t>
            </w:r>
          </w:p>
        </w:tc>
        <w:tc>
          <w:tcPr>
            <w:tcW w:w="2760" w:type="dxa"/>
            <w:tcMar>
              <w:top w:w="60" w:type="dxa"/>
              <w:left w:w="120" w:type="dxa"/>
              <w:bottom w:w="30" w:type="dxa"/>
              <w:right w:w="120" w:type="dxa"/>
            </w:tcMar>
          </w:tcPr>
          <w:p w14:paraId="5C2A73A2">
            <w:pPr>
              <w:spacing w:before="120" w:after="120" w:line="288" w:lineRule="auto"/>
              <w:ind w:left="0"/>
              <w:jc w:val="left"/>
            </w:pPr>
            <w:r>
              <w:rPr>
                <w:rFonts w:ascii="Arial" w:hAnsi="Arial" w:eastAsia="等线" w:cs="Arial"/>
                <w:sz w:val="22"/>
              </w:rPr>
              <w:t>First-pass yield rate, achieved through strict process control and automated inspection</w:t>
            </w:r>
          </w:p>
        </w:tc>
      </w:tr>
    </w:tbl>
    <w:p w14:paraId="366C20A2">
      <w:pPr>
        <w:pBdr>
          <w:bottom w:val="single" w:color="DEE0E3" w:sz="2" w:space="0"/>
          <w:between w:val="single" w:color="DEE0E3" w:sz="2" w:space="0"/>
        </w:pBdr>
        <w:spacing w:before="120" w:after="120" w:line="288" w:lineRule="auto"/>
        <w:ind w:left="0"/>
      </w:pPr>
    </w:p>
    <w:p w14:paraId="645B9F39">
      <w:pPr>
        <w:spacing w:before="300" w:after="120" w:line="288" w:lineRule="auto"/>
        <w:ind w:left="0"/>
        <w:jc w:val="left"/>
        <w:outlineLvl w:val="2"/>
      </w:pPr>
      <w:bookmarkStart w:id="1" w:name="heading_1"/>
      <w:r>
        <w:rPr>
          <w:rFonts w:ascii="Arial" w:hAnsi="Arial" w:eastAsia="等线" w:cs="Arial"/>
          <w:b/>
          <w:sz w:val="30"/>
        </w:rPr>
        <w:t>文案说明与可选版本</w:t>
      </w:r>
      <w:bookmarkEnd w:id="1"/>
    </w:p>
    <w:p w14:paraId="13454D54">
      <w:pPr>
        <w:spacing w:before="260" w:after="120" w:line="288" w:lineRule="auto"/>
        <w:ind w:left="0"/>
        <w:jc w:val="left"/>
        <w:outlineLvl w:val="3"/>
      </w:pPr>
      <w:bookmarkStart w:id="2" w:name="heading_2"/>
      <w:r>
        <w:rPr>
          <w:rFonts w:ascii="Arial" w:hAnsi="Arial" w:eastAsia="等线" w:cs="Arial"/>
          <w:b/>
          <w:sz w:val="28"/>
        </w:rPr>
        <w:t>中文对照版（方便你理解内容逻辑）</w:t>
      </w:r>
      <w:bookmarkEnd w:id="2"/>
    </w:p>
    <w:p w14:paraId="7D2D9AA2">
      <w:pPr>
        <w:spacing w:before="120" w:after="120" w:line="288" w:lineRule="auto"/>
        <w:ind w:left="0"/>
        <w:jc w:val="left"/>
      </w:pPr>
      <w:r>
        <w:rPr>
          <w:rFonts w:ascii="Arial" w:hAnsi="Arial" w:eastAsia="等线" w:cs="Arial"/>
          <w:b/>
          <w:sz w:val="22"/>
        </w:rPr>
        <w:t>标题：为什么选择我们</w:t>
      </w:r>
      <w:r>
        <w:rPr>
          <w:rFonts w:ascii="Arial" w:hAnsi="Arial" w:eastAsia="等线" w:cs="Arial"/>
          <w:sz w:val="22"/>
        </w:rPr>
        <w:br w:type="textWrapping"/>
      </w:r>
      <w:r>
        <w:rPr>
          <w:rFonts w:ascii="Arial" w:hAnsi="Arial" w:eastAsia="等线" w:cs="Arial"/>
          <w:sz w:val="22"/>
        </w:rPr>
        <w:t>多年来，我们始终专注于 PCBA 制造与电子组装服务，不仅在生产工艺上积累了深厚经验，更在解决各类项目的独特挑战中不断成长。与普通 PCB 工厂不同，我们将专业技术、灵活供应链能力与客户至上的服务理念相结合，为您提供真正适配需求的定制化方案 —— 无论是原型验证、批量量产，还是成本与可靠性优化，我们都能为您提供可靠支持。</w:t>
      </w:r>
    </w:p>
    <w:p w14:paraId="6DF746BA">
      <w:pPr>
        <w:numPr>
          <w:ilvl w:val="0"/>
          <w:numId w:val="1"/>
        </w:numPr>
        <w:spacing w:before="120" w:after="120" w:line="288" w:lineRule="auto"/>
        <w:ind w:left="0"/>
        <w:jc w:val="left"/>
      </w:pPr>
      <w:r>
        <w:rPr>
          <w:rFonts w:ascii="Arial" w:hAnsi="Arial" w:eastAsia="等线" w:cs="Arial"/>
          <w:sz w:val="22"/>
        </w:rPr>
        <w:t xml:space="preserve">🌍 </w:t>
      </w:r>
      <w:r>
        <w:rPr>
          <w:rFonts w:ascii="Arial" w:hAnsi="Arial" w:eastAsia="等线" w:cs="Arial"/>
          <w:b/>
          <w:sz w:val="22"/>
        </w:rPr>
        <w:t>服务覆盖 30 + 国家</w:t>
      </w:r>
      <w:r>
        <w:rPr>
          <w:rFonts w:ascii="Arial" w:hAnsi="Arial" w:eastAsia="等线" w:cs="Arial"/>
          <w:sz w:val="22"/>
        </w:rPr>
        <w:t>，全球订单准时交付，全程物流可追踪</w:t>
      </w:r>
    </w:p>
    <w:p w14:paraId="2C5061BB">
      <w:pPr>
        <w:numPr>
          <w:ilvl w:val="0"/>
          <w:numId w:val="2"/>
        </w:numPr>
        <w:spacing w:before="120" w:after="120" w:line="288" w:lineRule="auto"/>
        <w:ind w:left="0"/>
        <w:jc w:val="left"/>
      </w:pPr>
      <w:r>
        <w:rPr>
          <w:rFonts w:ascii="Arial" w:hAnsi="Arial" w:eastAsia="等线" w:cs="Arial"/>
          <w:sz w:val="22"/>
        </w:rPr>
        <w:t xml:space="preserve">📦 </w:t>
      </w:r>
      <w:r>
        <w:rPr>
          <w:rFonts w:ascii="Arial" w:hAnsi="Arial" w:eastAsia="等线" w:cs="Arial"/>
          <w:b/>
          <w:sz w:val="22"/>
        </w:rPr>
        <w:t>年管理 10 万 + 不同物料型号</w:t>
      </w:r>
      <w:r>
        <w:rPr>
          <w:rFonts w:ascii="Arial" w:hAnsi="Arial" w:eastAsia="等线" w:cs="Arial"/>
          <w:sz w:val="22"/>
        </w:rPr>
        <w:t>，含紧缺 / 停产物料替代方案</w:t>
      </w:r>
    </w:p>
    <w:p w14:paraId="514624EF">
      <w:pPr>
        <w:numPr>
          <w:ilvl w:val="0"/>
          <w:numId w:val="3"/>
        </w:numPr>
        <w:spacing w:before="120" w:after="120" w:line="288" w:lineRule="auto"/>
        <w:ind w:left="0"/>
        <w:jc w:val="left"/>
      </w:pPr>
      <w:r>
        <w:rPr>
          <w:rFonts w:ascii="Arial" w:hAnsi="Arial" w:eastAsia="等线" w:cs="Arial"/>
          <w:sz w:val="22"/>
        </w:rPr>
        <w:t xml:space="preserve">✅ </w:t>
      </w:r>
      <w:r>
        <w:rPr>
          <w:rFonts w:ascii="Arial" w:hAnsi="Arial" w:eastAsia="等线" w:cs="Arial"/>
          <w:b/>
          <w:sz w:val="22"/>
        </w:rPr>
        <w:t>一次通过率 99.8%</w:t>
      </w:r>
      <w:r>
        <w:rPr>
          <w:rFonts w:ascii="Arial" w:hAnsi="Arial" w:eastAsia="等线" w:cs="Arial"/>
          <w:sz w:val="22"/>
        </w:rPr>
        <w:t>，通过严格制程管控与自动化检测实现</w:t>
      </w:r>
    </w:p>
    <w:p w14:paraId="1DE4A646">
      <w:pPr>
        <w:spacing w:before="120" w:after="120" w:line="288" w:lineRule="auto"/>
        <w:ind w:left="0"/>
        <w:jc w:val="left"/>
      </w:pPr>
      <w:bookmarkStart w:id="3" w:name="_GoBack"/>
      <w:bookmarkEnd w:id="3"/>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1C4E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9AA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0"/>
      <w:numFmt w:val="bullet"/>
      <w:lvlText w:val="•"/>
      <w:lvlJc w:val="left"/>
      <w:rPr>
        <w:color w:val="3370FF"/>
      </w:rPr>
    </w:lvl>
  </w:abstractNum>
  <w:abstractNum w:abstractNumId="1">
    <w:nsid w:val="0053208E"/>
    <w:multiLevelType w:val="singleLevel"/>
    <w:tmpl w:val="0053208E"/>
    <w:lvl w:ilvl="0" w:tentative="0">
      <w:start w:val="0"/>
      <w:numFmt w:val="bullet"/>
      <w:lvlText w:val="•"/>
      <w:lvlJc w:val="left"/>
      <w:rPr>
        <w:color w:val="3370FF"/>
      </w:rPr>
    </w:lvl>
  </w:abstractNum>
  <w:abstractNum w:abstractNumId="2">
    <w:nsid w:val="59ADCABA"/>
    <w:multiLevelType w:val="singleLevel"/>
    <w:tmpl w:val="59ADCABA"/>
    <w:lvl w:ilvl="0" w:tentative="0">
      <w:start w:val="0"/>
      <w:numFmt w:val="bullet"/>
      <w:lvlText w:val="•"/>
      <w:lvlJc w:val="left"/>
      <w:rPr>
        <w:color w:val="3370FF"/>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compat>
    <w:useFELayout/>
    <w:splitPgBreakAndParaMark/>
    <w:compatSetting w:name="compatibilityMode" w:uri="http://schemas.microsoft.com/office/word" w:val="12"/>
  </w:compat>
  <w:rsids>
    <w:rsidRoot w:val="00000000"/>
    <w:rsid w:val="7EE32F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638</Words>
  <Characters>1712</Characters>
  <TotalTime>0</TotalTime>
  <ScaleCrop>false</ScaleCrop>
  <LinksUpToDate>false</LinksUpToDate>
  <CharactersWithSpaces>1940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2026-06-11T09:56:00Z</dcterms:created>
  <dc:creator>Apache POI</dc:creator>
  <cp:lastModifiedBy>玖</cp:lastModifiedBy>
  <dcterms:modified xsi:type="dcterms:W3CDTF">2026-06-11T09:57:37Z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{"Label":"1","ContentProducer":"001191110102MACQD9K64010000","ProduceID":"7650074584021437677","ReservedCode1":"","ContentPropagator":"","PropagateID":"","ReservedCode2":""}</vt:lpwstr>
  </property>
  <property fmtid="{D5CDD505-2E9C-101B-9397-08002B2CF9AE}" pid="3" name="KSOTemplateDocerSaveRecord">
    <vt:lpwstr>eyJoZGlkIjoiZDBhOWU4M2QwNjE1ODZlZDc3ODg1ZDQ1YjE4NTY2NzAiLCJ1c2VySWQiOiI4MjAxOTU0MTUifQ==</vt:lpwstr>
  </property>
  <property fmtid="{D5CDD505-2E9C-101B-9397-08002B2CF9AE}" pid="4" name="KSOProductBuildVer">
    <vt:lpwstr>2052-12.1.0.26895</vt:lpwstr>
  </property>
  <property fmtid="{D5CDD505-2E9C-101B-9397-08002B2CF9AE}" pid="5" name="ICV">
    <vt:lpwstr>C9824A80F2EB4C0199873DD947AAAC3F_12</vt:lpwstr>
  </property>
</Properties>
</file>