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104E74">
      <w:pPr>
        <w:spacing w:before="380" w:after="140" w:line="288" w:lineRule="auto"/>
        <w:ind w:left="0"/>
        <w:jc w:val="left"/>
        <w:outlineLvl w:val="0"/>
      </w:pPr>
      <w:bookmarkStart w:id="0" w:name="heading_0"/>
      <w:r>
        <w:rPr>
          <w:rFonts w:ascii="Arial" w:hAnsi="Arial" w:eastAsia="等线" w:cs="Arial"/>
          <w:b/>
          <w:sz w:val="36"/>
        </w:rPr>
        <w:t>官网企业优势 英文完整版</w:t>
      </w:r>
      <w:bookmarkEnd w:id="0"/>
    </w:p>
    <w:p w14:paraId="1FB9D057">
      <w:pPr>
        <w:spacing w:before="320" w:after="120" w:line="288" w:lineRule="auto"/>
        <w:ind w:left="0"/>
        <w:jc w:val="left"/>
        <w:outlineLvl w:val="1"/>
      </w:pPr>
      <w:bookmarkStart w:id="1" w:name="heading_1"/>
      <w:r>
        <w:rPr>
          <w:rFonts w:ascii="Arial" w:hAnsi="Arial" w:eastAsia="等线" w:cs="Arial"/>
          <w:b/>
          <w:sz w:val="32"/>
        </w:rPr>
        <w:t>1. One-Stop BOM Management &amp; Sourcing</w:t>
      </w:r>
      <w:bookmarkEnd w:id="1"/>
    </w:p>
    <w:p w14:paraId="34809AB5">
      <w:pPr>
        <w:spacing w:before="120" w:after="120" w:line="288" w:lineRule="auto"/>
        <w:ind w:left="0"/>
        <w:jc w:val="left"/>
      </w:pPr>
      <w:r>
        <w:rPr>
          <w:rFonts w:ascii="Arial" w:hAnsi="Arial" w:eastAsia="等线" w:cs="Arial"/>
          <w:b/>
          <w:sz w:val="22"/>
        </w:rPr>
        <w:t>Description</w:t>
      </w:r>
      <w:r>
        <w:rPr>
          <w:rFonts w:ascii="Arial" w:hAnsi="Arial" w:eastAsia="等线" w:cs="Arial"/>
          <w:sz w:val="22"/>
        </w:rPr>
        <w:t>: A full-chain material solution covering component selection to bulk delivery, helping you tackle all supply chain challenges efficiently.</w:t>
      </w:r>
    </w:p>
    <w:p w14:paraId="721801BB">
      <w:pPr>
        <w:spacing w:before="120" w:after="120" w:line="288" w:lineRule="auto"/>
        <w:ind w:left="0"/>
        <w:jc w:val="left"/>
      </w:pPr>
      <w:r>
        <w:rPr>
          <w:rFonts w:ascii="Arial" w:hAnsi="Arial" w:eastAsia="等线" w:cs="Arial"/>
          <w:sz w:val="22"/>
        </w:rPr>
        <w:t>Our BOM service goes beyond simple procurement. We provide full-lifecycle support including material selection suggestions, alternative component recommendations for obsolete or shortage parts, bulk purchasing, incoming inspection and inventory management. We also offer surplus component storage and recycling services to cut costs and avoid supply disruptions, so you never need to coordinate with multiple suppliers.</w:t>
      </w:r>
    </w:p>
    <w:p w14:paraId="400ADB15">
      <w:pPr>
        <w:numPr>
          <w:ilvl w:val="0"/>
          <w:numId w:val="1"/>
        </w:numPr>
        <w:spacing w:before="120" w:after="120" w:line="288" w:lineRule="auto"/>
        <w:ind w:left="0"/>
        <w:jc w:val="left"/>
      </w:pPr>
      <w:r>
        <w:rPr>
          <w:rFonts w:ascii="Arial" w:hAnsi="Arial" w:eastAsia="等线" w:cs="Arial"/>
          <w:sz w:val="22"/>
        </w:rPr>
        <w:t>Components sourced from original manufacturers &amp; authorized distributors with full traceability</w:t>
      </w:r>
    </w:p>
    <w:p w14:paraId="49F32C67">
      <w:pPr>
        <w:numPr>
          <w:ilvl w:val="0"/>
          <w:numId w:val="2"/>
        </w:numPr>
        <w:spacing w:before="120" w:after="120" w:line="288" w:lineRule="auto"/>
        <w:ind w:left="0"/>
        <w:jc w:val="left"/>
      </w:pPr>
      <w:r>
        <w:rPr>
          <w:rFonts w:ascii="Arial" w:hAnsi="Arial" w:eastAsia="等线" w:cs="Arial"/>
          <w:sz w:val="22"/>
        </w:rPr>
        <w:t>Reliable alternatives for out-of-stock or discontinued parts to prevent project delays</w:t>
      </w:r>
    </w:p>
    <w:p w14:paraId="33CF2918">
      <w:pPr>
        <w:numPr>
          <w:ilvl w:val="0"/>
          <w:numId w:val="3"/>
        </w:numPr>
        <w:spacing w:before="120" w:after="120" w:line="288" w:lineRule="auto"/>
        <w:ind w:left="0"/>
        <w:jc w:val="left"/>
      </w:pPr>
      <w:r>
        <w:rPr>
          <w:rFonts w:ascii="Arial" w:hAnsi="Arial" w:eastAsia="等线" w:cs="Arial"/>
          <w:sz w:val="22"/>
        </w:rPr>
        <w:t>Surplus component management &amp; recycling to reduce repeated procurement costs</w:t>
      </w:r>
    </w:p>
    <w:p w14:paraId="07B8089E">
      <w:pPr>
        <w:pBdr>
          <w:bottom w:val="single" w:color="DEE0E3" w:sz="2" w:space="0"/>
          <w:between w:val="single" w:color="DEE0E3" w:sz="2" w:space="0"/>
        </w:pBdr>
        <w:spacing w:before="120" w:after="120" w:line="288" w:lineRule="auto"/>
        <w:ind w:left="0"/>
      </w:pPr>
    </w:p>
    <w:p w14:paraId="60CF5983">
      <w:pPr>
        <w:spacing w:before="320" w:after="120" w:line="288" w:lineRule="auto"/>
        <w:ind w:left="0"/>
        <w:jc w:val="left"/>
        <w:outlineLvl w:val="1"/>
      </w:pPr>
      <w:bookmarkStart w:id="2" w:name="heading_2"/>
      <w:r>
        <w:rPr>
          <w:rFonts w:ascii="Arial" w:hAnsi="Arial" w:eastAsia="等线" w:cs="Arial"/>
          <w:b/>
          <w:sz w:val="32"/>
        </w:rPr>
        <w:t>2. End-to-End Quality Control &amp; Reliability Testing</w:t>
      </w:r>
      <w:bookmarkEnd w:id="2"/>
    </w:p>
    <w:p w14:paraId="6E47F6BA">
      <w:pPr>
        <w:spacing w:before="120" w:after="120" w:line="288" w:lineRule="auto"/>
        <w:ind w:left="0"/>
        <w:jc w:val="left"/>
      </w:pPr>
      <w:r>
        <w:rPr>
          <w:rFonts w:ascii="Arial" w:hAnsi="Arial" w:eastAsia="等线" w:cs="Arial"/>
          <w:b/>
          <w:sz w:val="22"/>
        </w:rPr>
        <w:t>Description</w:t>
      </w:r>
      <w:r>
        <w:rPr>
          <w:rFonts w:ascii="Arial" w:hAnsi="Arial" w:eastAsia="等线" w:cs="Arial"/>
          <w:sz w:val="22"/>
        </w:rPr>
        <w:t>: Multi-layered inspections at every production stage to ensure stable performance and minimize defective rates.</w:t>
      </w:r>
    </w:p>
    <w:p w14:paraId="46E6CD18">
      <w:pPr>
        <w:spacing w:before="120" w:after="120" w:line="288" w:lineRule="auto"/>
        <w:ind w:left="0"/>
        <w:jc w:val="left"/>
      </w:pPr>
      <w:r>
        <w:rPr>
          <w:rFonts w:ascii="Arial" w:hAnsi="Arial" w:eastAsia="等线" w:cs="Arial"/>
          <w:sz w:val="22"/>
        </w:rPr>
        <w:t>We have established a comprehensive quality control system running through the entire workflow: DFM review before production, first article inspection during manufacturing, AOI &amp; SPI automated testing after SMT assembly, functional testing and aging tests. All processes comply with IPC-A-610 standards. Every finished PCB &amp; PCBA undergoes strict checks to deliver reliable products and reduce rework costs.</w:t>
      </w:r>
    </w:p>
    <w:p w14:paraId="06C52D7E">
      <w:pPr>
        <w:numPr>
          <w:ilvl w:val="0"/>
          <w:numId w:val="4"/>
        </w:numPr>
        <w:spacing w:before="120" w:after="120" w:line="288" w:lineRule="auto"/>
        <w:ind w:left="0"/>
        <w:jc w:val="left"/>
      </w:pPr>
      <w:r>
        <w:rPr>
          <w:rFonts w:ascii="Arial" w:hAnsi="Arial" w:eastAsia="等线" w:cs="Arial"/>
          <w:sz w:val="22"/>
        </w:rPr>
        <w:t>Pre-production DFM audit to eliminate potential manufacturability risks</w:t>
      </w:r>
    </w:p>
    <w:p w14:paraId="51551527">
      <w:pPr>
        <w:numPr>
          <w:ilvl w:val="0"/>
          <w:numId w:val="5"/>
        </w:numPr>
        <w:spacing w:before="120" w:after="120" w:line="288" w:lineRule="auto"/>
        <w:ind w:left="0"/>
        <w:jc w:val="left"/>
      </w:pPr>
      <w:r>
        <w:rPr>
          <w:rFonts w:ascii="Arial" w:hAnsi="Arial" w:eastAsia="等线" w:cs="Arial"/>
          <w:sz w:val="22"/>
        </w:rPr>
        <w:t>Combined AOI, SPI automated inspection &amp; manual recheck to avoid soldering defects</w:t>
      </w:r>
    </w:p>
    <w:p w14:paraId="12DD04DA">
      <w:pPr>
        <w:numPr>
          <w:ilvl w:val="0"/>
          <w:numId w:val="6"/>
        </w:numPr>
        <w:spacing w:before="120" w:after="120" w:line="288" w:lineRule="auto"/>
        <w:ind w:left="0"/>
        <w:jc w:val="left"/>
      </w:pPr>
      <w:r>
        <w:rPr>
          <w:rFonts w:ascii="Arial" w:hAnsi="Arial" w:eastAsia="等线" w:cs="Arial"/>
          <w:sz w:val="22"/>
        </w:rPr>
        <w:t>Functional and aging tests to verify long-term product reliability</w:t>
      </w:r>
    </w:p>
    <w:p w14:paraId="644C1BB1">
      <w:pPr>
        <w:pBdr>
          <w:bottom w:val="single" w:color="DEE0E3" w:sz="2" w:space="0"/>
          <w:between w:val="single" w:color="DEE0E3" w:sz="2" w:space="0"/>
        </w:pBdr>
        <w:spacing w:before="120" w:after="120" w:line="288" w:lineRule="auto"/>
        <w:ind w:left="0"/>
      </w:pPr>
    </w:p>
    <w:p w14:paraId="2441D860">
      <w:pPr>
        <w:spacing w:before="320" w:after="120" w:line="288" w:lineRule="auto"/>
        <w:ind w:left="0"/>
        <w:jc w:val="left"/>
        <w:outlineLvl w:val="1"/>
      </w:pPr>
      <w:bookmarkStart w:id="3" w:name="heading_3"/>
      <w:r>
        <w:rPr>
          <w:rFonts w:ascii="Arial" w:hAnsi="Arial" w:eastAsia="等线" w:cs="Arial"/>
          <w:b/>
          <w:sz w:val="32"/>
        </w:rPr>
        <w:t>3. Dedicated Sales &amp; Engineer One-on-One Support</w:t>
      </w:r>
      <w:bookmarkEnd w:id="3"/>
    </w:p>
    <w:p w14:paraId="22A1A0ED">
      <w:pPr>
        <w:spacing w:before="120" w:after="120" w:line="288" w:lineRule="auto"/>
        <w:ind w:left="0"/>
        <w:jc w:val="left"/>
      </w:pPr>
      <w:r>
        <w:rPr>
          <w:rFonts w:ascii="Arial" w:hAnsi="Arial" w:eastAsia="等线" w:cs="Arial"/>
          <w:b/>
          <w:sz w:val="22"/>
        </w:rPr>
        <w:t>Description</w:t>
      </w:r>
      <w:r>
        <w:rPr>
          <w:rFonts w:ascii="Arial" w:hAnsi="Arial" w:eastAsia="等线" w:cs="Arial"/>
          <w:sz w:val="22"/>
        </w:rPr>
        <w:t>: Exclusive dedicated teams for instant response and full project follow-up.</w:t>
      </w:r>
    </w:p>
    <w:p w14:paraId="3B87B298">
      <w:pPr>
        <w:spacing w:before="120" w:after="120" w:line="288" w:lineRule="auto"/>
        <w:ind w:left="0"/>
        <w:jc w:val="left"/>
      </w:pPr>
      <w:r>
        <w:rPr>
          <w:rFonts w:ascii="Arial" w:hAnsi="Arial" w:eastAsia="等线" w:cs="Arial"/>
          <w:sz w:val="22"/>
        </w:rPr>
        <w:t>Unlike ordinary customer service models, we assign a dedicated sales specialist and senior engineer to each client. The sales team takes charge of order tracking, delivery coordination and cost communication, while professional engineers offer technical consulting, design optimization and process adaptation. Dual-team collaboration keeps information consistent and solves problems efficiently throughout the whole project.</w:t>
      </w:r>
    </w:p>
    <w:p w14:paraId="2B294CAF">
      <w:pPr>
        <w:numPr>
          <w:ilvl w:val="0"/>
          <w:numId w:val="7"/>
        </w:numPr>
        <w:spacing w:before="120" w:after="120" w:line="288" w:lineRule="auto"/>
        <w:ind w:left="0"/>
        <w:jc w:val="left"/>
      </w:pPr>
      <w:r>
        <w:rPr>
          <w:rFonts w:ascii="Arial" w:hAnsi="Arial" w:eastAsia="等线" w:cs="Arial"/>
          <w:sz w:val="22"/>
        </w:rPr>
        <w:t>Dedicated sales contact for real-time order progress updates</w:t>
      </w:r>
    </w:p>
    <w:p w14:paraId="050DCE53">
      <w:pPr>
        <w:numPr>
          <w:ilvl w:val="0"/>
          <w:numId w:val="8"/>
        </w:numPr>
        <w:spacing w:before="120" w:after="120" w:line="288" w:lineRule="auto"/>
        <w:ind w:left="0"/>
        <w:jc w:val="left"/>
      </w:pPr>
      <w:r>
        <w:rPr>
          <w:rFonts w:ascii="Arial" w:hAnsi="Arial" w:eastAsia="等线" w:cs="Arial"/>
          <w:sz w:val="22"/>
        </w:rPr>
        <w:t>Professional engineers on standby for technical support &amp; design optimization</w:t>
      </w:r>
    </w:p>
    <w:p w14:paraId="5C1D03FC">
      <w:pPr>
        <w:numPr>
          <w:ilvl w:val="0"/>
          <w:numId w:val="9"/>
        </w:numPr>
        <w:spacing w:before="120" w:after="120" w:line="288" w:lineRule="auto"/>
        <w:ind w:left="0"/>
        <w:jc w:val="left"/>
      </w:pPr>
      <w:r>
        <w:rPr>
          <w:rFonts w:ascii="Arial" w:hAnsi="Arial" w:eastAsia="等线" w:cs="Arial"/>
          <w:sz w:val="22"/>
        </w:rPr>
        <w:t>Dual-team cooperation to greatly improve problem-solving efficiency</w:t>
      </w:r>
    </w:p>
    <w:p w14:paraId="28E5A4BA">
      <w:pPr>
        <w:pBdr>
          <w:bottom w:val="single" w:color="DEE0E3" w:sz="2" w:space="0"/>
          <w:between w:val="single" w:color="DEE0E3" w:sz="2" w:space="0"/>
        </w:pBdr>
        <w:spacing w:before="120" w:after="120" w:line="288" w:lineRule="auto"/>
        <w:ind w:left="0"/>
      </w:pPr>
    </w:p>
    <w:p w14:paraId="41DC0472">
      <w:pPr>
        <w:spacing w:before="320" w:after="120" w:line="288" w:lineRule="auto"/>
        <w:ind w:left="0"/>
        <w:jc w:val="left"/>
        <w:outlineLvl w:val="1"/>
      </w:pPr>
      <w:bookmarkStart w:id="4" w:name="heading_4"/>
      <w:r>
        <w:rPr>
          <w:rFonts w:ascii="Arial" w:hAnsi="Arial" w:eastAsia="等线" w:cs="Arial"/>
          <w:b/>
          <w:sz w:val="32"/>
        </w:rPr>
        <w:t>4. Rapid Turnaround &amp; Flexible Production</w:t>
      </w:r>
      <w:bookmarkEnd w:id="4"/>
    </w:p>
    <w:p w14:paraId="6A4F69E3">
      <w:pPr>
        <w:spacing w:before="120" w:after="120" w:line="288" w:lineRule="auto"/>
        <w:ind w:left="0"/>
        <w:jc w:val="left"/>
      </w:pPr>
      <w:r>
        <w:rPr>
          <w:rFonts w:ascii="Arial" w:hAnsi="Arial" w:eastAsia="等线" w:cs="Arial"/>
          <w:b/>
          <w:sz w:val="22"/>
        </w:rPr>
        <w:t>Description</w:t>
      </w:r>
      <w:r>
        <w:rPr>
          <w:rFonts w:ascii="Arial" w:hAnsi="Arial" w:eastAsia="等线" w:cs="Arial"/>
          <w:sz w:val="22"/>
        </w:rPr>
        <w:t>: Priority production lines for urgent orders to meet your tight schedules.</w:t>
      </w:r>
    </w:p>
    <w:p w14:paraId="5857595D">
      <w:pPr>
        <w:spacing w:before="120" w:after="120" w:line="288" w:lineRule="auto"/>
        <w:ind w:left="0"/>
        <w:jc w:val="left"/>
      </w:pPr>
      <w:r>
        <w:rPr>
          <w:rFonts w:ascii="Arial" w:hAnsi="Arial" w:eastAsia="等线" w:cs="Arial"/>
          <w:sz w:val="22"/>
        </w:rPr>
        <w:t>We fully understand the urgency of R&amp;D projects and have set up exclusive production lines for quick samples. Standard PCBA samples can be delivered within 48 hours. We adopt flexible production scheduling for mass orders to guarantee on-time delivery. Even for orders with complex processes, we optimize production flows to avoid delays and help you seize market opportunities.</w:t>
      </w:r>
    </w:p>
    <w:p w14:paraId="3F20AED7">
      <w:pPr>
        <w:numPr>
          <w:ilvl w:val="0"/>
          <w:numId w:val="10"/>
        </w:numPr>
        <w:spacing w:before="120" w:after="120" w:line="288" w:lineRule="auto"/>
        <w:ind w:left="0"/>
        <w:jc w:val="left"/>
      </w:pPr>
      <w:r>
        <w:rPr>
          <w:rFonts w:ascii="Arial" w:hAnsi="Arial" w:eastAsia="等线" w:cs="Arial"/>
          <w:sz w:val="22"/>
        </w:rPr>
        <w:t>Exclusive rush production line, samples available in as fast as 48 hours</w:t>
      </w:r>
    </w:p>
    <w:p w14:paraId="215404EB">
      <w:pPr>
        <w:numPr>
          <w:ilvl w:val="0"/>
          <w:numId w:val="11"/>
        </w:numPr>
        <w:spacing w:before="120" w:after="120" w:line="288" w:lineRule="auto"/>
        <w:ind w:left="0"/>
        <w:jc w:val="left"/>
      </w:pPr>
      <w:r>
        <w:rPr>
          <w:rFonts w:ascii="Arial" w:hAnsi="Arial" w:eastAsia="等线" w:cs="Arial"/>
          <w:sz w:val="22"/>
        </w:rPr>
        <w:t>Flexible production scheduling to ensure stable lead time for mass production</w:t>
      </w:r>
    </w:p>
    <w:p w14:paraId="0B99D5D8">
      <w:pPr>
        <w:numPr>
          <w:ilvl w:val="0"/>
          <w:numId w:val="12"/>
        </w:numPr>
        <w:spacing w:before="120" w:after="120" w:line="288" w:lineRule="auto"/>
        <w:ind w:left="0"/>
        <w:jc w:val="left"/>
      </w:pPr>
      <w:r>
        <w:rPr>
          <w:rFonts w:ascii="Arial" w:hAnsi="Arial" w:eastAsia="等线" w:cs="Arial"/>
          <w:sz w:val="22"/>
        </w:rPr>
        <w:t>Process optimization for complex orders to prevent production delays</w:t>
      </w:r>
    </w:p>
    <w:p w14:paraId="4913AC54">
      <w:pPr>
        <w:pBdr>
          <w:bottom w:val="single" w:color="DEE0E3" w:sz="2" w:space="0"/>
          <w:between w:val="single" w:color="DEE0E3" w:sz="2" w:space="0"/>
        </w:pBdr>
        <w:spacing w:before="120" w:after="120" w:line="288" w:lineRule="auto"/>
        <w:ind w:left="0"/>
      </w:pPr>
    </w:p>
    <w:p w14:paraId="709937B4">
      <w:pPr>
        <w:spacing w:before="320" w:after="120" w:line="288" w:lineRule="auto"/>
        <w:ind w:left="0"/>
        <w:jc w:val="left"/>
        <w:outlineLvl w:val="1"/>
      </w:pPr>
      <w:bookmarkStart w:id="5" w:name="heading_5"/>
      <w:r>
        <w:rPr>
          <w:rFonts w:ascii="Arial" w:hAnsi="Arial" w:eastAsia="等线" w:cs="Arial"/>
          <w:b/>
          <w:sz w:val="32"/>
        </w:rPr>
        <w:t>5. Fast &amp; Traceable Global Shipping</w:t>
      </w:r>
      <w:bookmarkEnd w:id="5"/>
    </w:p>
    <w:p w14:paraId="315C63AB">
      <w:pPr>
        <w:spacing w:before="120" w:after="120" w:line="288" w:lineRule="auto"/>
        <w:ind w:left="0"/>
        <w:jc w:val="left"/>
      </w:pPr>
      <w:r>
        <w:rPr>
          <w:rFonts w:ascii="Arial" w:hAnsi="Arial" w:eastAsia="等线" w:cs="Arial"/>
          <w:b/>
          <w:sz w:val="22"/>
        </w:rPr>
        <w:t>Description</w:t>
      </w:r>
      <w:r>
        <w:rPr>
          <w:rFonts w:ascii="Arial" w:hAnsi="Arial" w:eastAsia="等线" w:cs="Arial"/>
          <w:sz w:val="22"/>
        </w:rPr>
        <w:t>: Customized global logistics solutions with full tracking for safe and timely delivery worldwide.</w:t>
      </w:r>
    </w:p>
    <w:p w14:paraId="1C8F89CB">
      <w:pPr>
        <w:spacing w:before="120" w:after="120" w:line="288" w:lineRule="auto"/>
        <w:ind w:left="0"/>
        <w:jc w:val="left"/>
      </w:pPr>
      <w:r>
        <w:rPr>
          <w:rFonts w:ascii="Arial" w:hAnsi="Arial" w:eastAsia="等线" w:cs="Arial"/>
          <w:sz w:val="22"/>
        </w:rPr>
        <w:t>We maintain long-term partnerships with DHL, FedEx, UPS and other leading logistics providers. We customize shipping plans including air freight, sea freight and dedicated lines to balance speed and cost. Full tracking service is available for all shipments, allowing you to monitor cargo status and customs clearance in real time. Cargo insurance is also provided to eliminate transportation risks.</w:t>
      </w:r>
    </w:p>
    <w:p w14:paraId="2998A1F5">
      <w:pPr>
        <w:numPr>
          <w:ilvl w:val="0"/>
          <w:numId w:val="13"/>
        </w:numPr>
        <w:spacing w:before="120" w:after="120" w:line="288" w:lineRule="auto"/>
        <w:ind w:left="0"/>
        <w:jc w:val="left"/>
      </w:pPr>
      <w:r>
        <w:rPr>
          <w:rFonts w:ascii="Arial" w:hAnsi="Arial" w:eastAsia="等线" w:cs="Arial"/>
          <w:sz w:val="22"/>
        </w:rPr>
        <w:t>Diverse logistics options to match your requirements on cost and transit time</w:t>
      </w:r>
    </w:p>
    <w:p w14:paraId="2CCEC94B">
      <w:pPr>
        <w:numPr>
          <w:ilvl w:val="0"/>
          <w:numId w:val="14"/>
        </w:numPr>
        <w:spacing w:before="120" w:after="120" w:line="288" w:lineRule="auto"/>
        <w:ind w:left="0"/>
        <w:jc w:val="left"/>
      </w:pPr>
      <w:r>
        <w:rPr>
          <w:rFonts w:ascii="Arial" w:hAnsi="Arial" w:eastAsia="等线" w:cs="Arial"/>
          <w:sz w:val="22"/>
        </w:rPr>
        <w:t>Full shipment tracking for real-time visibility of cargo status</w:t>
      </w:r>
    </w:p>
    <w:p w14:paraId="32BBB20B">
      <w:pPr>
        <w:numPr>
          <w:ilvl w:val="0"/>
          <w:numId w:val="15"/>
        </w:numPr>
        <w:spacing w:before="120" w:after="120" w:line="288" w:lineRule="auto"/>
        <w:ind w:left="0"/>
        <w:jc w:val="left"/>
      </w:pPr>
      <w:r>
        <w:rPr>
          <w:rFonts w:ascii="Arial" w:hAnsi="Arial" w:eastAsia="等线" w:cs="Arial"/>
          <w:sz w:val="22"/>
        </w:rPr>
        <w:t>Cargo insurance included to secure goods during transportation</w:t>
      </w:r>
    </w:p>
    <w:p w14:paraId="7DC57BAF">
      <w:pPr>
        <w:pBdr>
          <w:bottom w:val="single" w:color="DEE0E3" w:sz="2" w:space="0"/>
          <w:between w:val="single" w:color="DEE0E3" w:sz="2" w:space="0"/>
        </w:pBdr>
        <w:spacing w:before="120" w:after="120" w:line="288" w:lineRule="auto"/>
        <w:ind w:left="0"/>
      </w:pPr>
    </w:p>
    <w:p w14:paraId="76945BDD">
      <w:pPr>
        <w:spacing w:before="320" w:after="120" w:line="288" w:lineRule="auto"/>
        <w:ind w:left="0"/>
        <w:jc w:val="left"/>
        <w:outlineLvl w:val="1"/>
      </w:pPr>
      <w:bookmarkStart w:id="6" w:name="heading_6"/>
      <w:r>
        <w:rPr>
          <w:rFonts w:ascii="Arial" w:hAnsi="Arial" w:eastAsia="等线" w:cs="Arial"/>
          <w:b/>
          <w:sz w:val="32"/>
        </w:rPr>
        <w:t>6. Strict IP &amp; Project Information Protection (Optional)</w:t>
      </w:r>
      <w:bookmarkEnd w:id="6"/>
    </w:p>
    <w:p w14:paraId="62E9ACAD">
      <w:pPr>
        <w:spacing w:before="120" w:after="120" w:line="288" w:lineRule="auto"/>
        <w:ind w:left="0"/>
        <w:jc w:val="left"/>
      </w:pPr>
      <w:r>
        <w:rPr>
          <w:rFonts w:ascii="Arial" w:hAnsi="Arial" w:eastAsia="等线" w:cs="Arial"/>
          <w:b/>
          <w:sz w:val="22"/>
        </w:rPr>
        <w:t>Description</w:t>
      </w:r>
      <w:r>
        <w:rPr>
          <w:rFonts w:ascii="Arial" w:hAnsi="Arial" w:eastAsia="等线" w:cs="Arial"/>
          <w:sz w:val="22"/>
        </w:rPr>
        <w:t>: Formal confidentiality agreements to fully protect your intellectual property and confidential data.</w:t>
      </w:r>
    </w:p>
    <w:p w14:paraId="53BB6B54">
      <w:pPr>
        <w:spacing w:before="120" w:after="120" w:line="288" w:lineRule="auto"/>
        <w:ind w:left="0"/>
        <w:jc w:val="left"/>
      </w:pPr>
      <w:r>
        <w:rPr>
          <w:rFonts w:ascii="Arial" w:hAnsi="Arial" w:eastAsia="等线" w:cs="Arial"/>
          <w:sz w:val="22"/>
        </w:rPr>
        <w:t>Your design files and project solutions are core business assets. We are willing to sign NDA (Non-Disclosure Agreement) before project commencement. All Gerber files, BOM lists and project documents are encrypted with strict internal access control. We implement standardized confidentiality management to prevent information leakage and create a worry-free cooperation environment.</w:t>
      </w:r>
    </w:p>
    <w:p w14:paraId="58C0FDF4">
      <w:pPr>
        <w:numPr>
          <w:ilvl w:val="0"/>
          <w:numId w:val="16"/>
        </w:numPr>
        <w:spacing w:before="120" w:after="120" w:line="288" w:lineRule="auto"/>
        <w:ind w:left="0"/>
        <w:jc w:val="left"/>
      </w:pPr>
      <w:r>
        <w:rPr>
          <w:rFonts w:ascii="Arial" w:hAnsi="Arial" w:eastAsia="等线" w:cs="Arial"/>
          <w:sz w:val="22"/>
        </w:rPr>
        <w:t>NDA signing available prior to project cooperation</w:t>
      </w:r>
    </w:p>
    <w:p w14:paraId="1CEDFB3D">
      <w:pPr>
        <w:numPr>
          <w:ilvl w:val="0"/>
          <w:numId w:val="17"/>
        </w:numPr>
        <w:spacing w:before="120" w:after="120" w:line="288" w:lineRule="auto"/>
        <w:ind w:left="0"/>
        <w:jc w:val="left"/>
      </w:pPr>
      <w:r>
        <w:rPr>
          <w:rFonts w:ascii="Arial" w:hAnsi="Arial" w:eastAsia="等线" w:cs="Arial"/>
          <w:sz w:val="22"/>
        </w:rPr>
        <w:t>Full encryption for design documents with strict access permission management</w:t>
      </w:r>
    </w:p>
    <w:p w14:paraId="431EBB7A">
      <w:pPr>
        <w:numPr>
          <w:ilvl w:val="0"/>
          <w:numId w:val="18"/>
        </w:numPr>
        <w:spacing w:before="120" w:after="120" w:line="288" w:lineRule="auto"/>
        <w:ind w:left="0"/>
        <w:jc w:val="left"/>
      </w:pPr>
      <w:r>
        <w:rPr>
          <w:rFonts w:ascii="Arial" w:hAnsi="Arial" w:eastAsia="等线" w:cs="Arial"/>
          <w:sz w:val="22"/>
        </w:rPr>
        <w:t>Standard internal confidentiality rules to avoid information disclosure</w:t>
      </w:r>
    </w:p>
    <w:p w14:paraId="47F81E96">
      <w:pPr>
        <w:spacing w:before="120" w:after="120" w:line="288" w:lineRule="auto"/>
        <w:ind w:left="0"/>
        <w:jc w:val="left"/>
      </w:pPr>
      <w:bookmarkStart w:id="7" w:name="_GoBack"/>
      <w:bookmarkEnd w:id="7"/>
    </w:p>
    <w:sectPr>
      <w:headerReference r:id="rId3" w:type="default"/>
      <w:footerReference r:id="rId4" w:type="default"/>
      <w:pgSz w:w="11905" w:h="1684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AF6397"/>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32D83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39341B"/>
    <w:multiLevelType w:val="singleLevel"/>
    <w:tmpl w:val="9239341B"/>
    <w:lvl w:ilvl="0" w:tentative="0">
      <w:start w:val="0"/>
      <w:numFmt w:val="bullet"/>
      <w:lvlText w:val="•"/>
      <w:lvlJc w:val="left"/>
      <w:rPr>
        <w:color w:val="3370FF"/>
      </w:rPr>
    </w:lvl>
  </w:abstractNum>
  <w:abstractNum w:abstractNumId="1">
    <w:nsid w:val="B5E306ED"/>
    <w:multiLevelType w:val="singleLevel"/>
    <w:tmpl w:val="B5E306ED"/>
    <w:lvl w:ilvl="0" w:tentative="0">
      <w:start w:val="0"/>
      <w:numFmt w:val="bullet"/>
      <w:lvlText w:val="•"/>
      <w:lvlJc w:val="left"/>
      <w:rPr>
        <w:color w:val="3370FF"/>
      </w:rPr>
    </w:lvl>
  </w:abstractNum>
  <w:abstractNum w:abstractNumId="2">
    <w:nsid w:val="BF205925"/>
    <w:multiLevelType w:val="singleLevel"/>
    <w:tmpl w:val="BF205925"/>
    <w:lvl w:ilvl="0" w:tentative="0">
      <w:start w:val="0"/>
      <w:numFmt w:val="bullet"/>
      <w:lvlText w:val="•"/>
      <w:lvlJc w:val="left"/>
      <w:rPr>
        <w:color w:val="3370FF"/>
      </w:rPr>
    </w:lvl>
  </w:abstractNum>
  <w:abstractNum w:abstractNumId="3">
    <w:nsid w:val="C8879AEF"/>
    <w:multiLevelType w:val="singleLevel"/>
    <w:tmpl w:val="C8879AEF"/>
    <w:lvl w:ilvl="0" w:tentative="0">
      <w:start w:val="0"/>
      <w:numFmt w:val="bullet"/>
      <w:lvlText w:val="•"/>
      <w:lvlJc w:val="left"/>
      <w:rPr>
        <w:color w:val="3370FF"/>
      </w:rPr>
    </w:lvl>
  </w:abstractNum>
  <w:abstractNum w:abstractNumId="4">
    <w:nsid w:val="CF092B84"/>
    <w:multiLevelType w:val="singleLevel"/>
    <w:tmpl w:val="CF092B84"/>
    <w:lvl w:ilvl="0" w:tentative="0">
      <w:start w:val="0"/>
      <w:numFmt w:val="bullet"/>
      <w:lvlText w:val="•"/>
      <w:lvlJc w:val="left"/>
      <w:rPr>
        <w:color w:val="3370FF"/>
      </w:rPr>
    </w:lvl>
  </w:abstractNum>
  <w:abstractNum w:abstractNumId="5">
    <w:nsid w:val="D7F9FE59"/>
    <w:multiLevelType w:val="singleLevel"/>
    <w:tmpl w:val="D7F9FE59"/>
    <w:lvl w:ilvl="0" w:tentative="0">
      <w:start w:val="0"/>
      <w:numFmt w:val="bullet"/>
      <w:lvlText w:val="•"/>
      <w:lvlJc w:val="left"/>
      <w:rPr>
        <w:color w:val="3370FF"/>
      </w:rPr>
    </w:lvl>
  </w:abstractNum>
  <w:abstractNum w:abstractNumId="6">
    <w:nsid w:val="DCBA6B53"/>
    <w:multiLevelType w:val="singleLevel"/>
    <w:tmpl w:val="DCBA6B53"/>
    <w:lvl w:ilvl="0" w:tentative="0">
      <w:start w:val="0"/>
      <w:numFmt w:val="bullet"/>
      <w:lvlText w:val="•"/>
      <w:lvlJc w:val="left"/>
      <w:rPr>
        <w:color w:val="3370FF"/>
      </w:rPr>
    </w:lvl>
  </w:abstractNum>
  <w:abstractNum w:abstractNumId="7">
    <w:nsid w:val="F4B5D9F5"/>
    <w:multiLevelType w:val="singleLevel"/>
    <w:tmpl w:val="F4B5D9F5"/>
    <w:lvl w:ilvl="0" w:tentative="0">
      <w:start w:val="0"/>
      <w:numFmt w:val="bullet"/>
      <w:lvlText w:val="•"/>
      <w:lvlJc w:val="left"/>
      <w:rPr>
        <w:color w:val="3370FF"/>
      </w:rPr>
    </w:lvl>
  </w:abstractNum>
  <w:abstractNum w:abstractNumId="8">
    <w:nsid w:val="0053208E"/>
    <w:multiLevelType w:val="singleLevel"/>
    <w:tmpl w:val="0053208E"/>
    <w:lvl w:ilvl="0" w:tentative="0">
      <w:start w:val="0"/>
      <w:numFmt w:val="bullet"/>
      <w:lvlText w:val="•"/>
      <w:lvlJc w:val="left"/>
      <w:rPr>
        <w:color w:val="3370FF"/>
      </w:rPr>
    </w:lvl>
  </w:abstractNum>
  <w:abstractNum w:abstractNumId="9">
    <w:nsid w:val="0248C179"/>
    <w:multiLevelType w:val="singleLevel"/>
    <w:tmpl w:val="0248C179"/>
    <w:lvl w:ilvl="0" w:tentative="0">
      <w:start w:val="0"/>
      <w:numFmt w:val="bullet"/>
      <w:lvlText w:val="•"/>
      <w:lvlJc w:val="left"/>
      <w:rPr>
        <w:color w:val="3370FF"/>
      </w:rPr>
    </w:lvl>
  </w:abstractNum>
  <w:abstractNum w:abstractNumId="10">
    <w:nsid w:val="03D62ECE"/>
    <w:multiLevelType w:val="singleLevel"/>
    <w:tmpl w:val="03D62ECE"/>
    <w:lvl w:ilvl="0" w:tentative="0">
      <w:start w:val="0"/>
      <w:numFmt w:val="bullet"/>
      <w:lvlText w:val="•"/>
      <w:lvlJc w:val="left"/>
      <w:rPr>
        <w:color w:val="3370FF"/>
      </w:rPr>
    </w:lvl>
  </w:abstractNum>
  <w:abstractNum w:abstractNumId="11">
    <w:nsid w:val="2470EC97"/>
    <w:multiLevelType w:val="singleLevel"/>
    <w:tmpl w:val="2470EC97"/>
    <w:lvl w:ilvl="0" w:tentative="0">
      <w:start w:val="0"/>
      <w:numFmt w:val="bullet"/>
      <w:lvlText w:val="•"/>
      <w:lvlJc w:val="left"/>
      <w:rPr>
        <w:color w:val="3370FF"/>
      </w:rPr>
    </w:lvl>
  </w:abstractNum>
  <w:abstractNum w:abstractNumId="12">
    <w:nsid w:val="25B654F3"/>
    <w:multiLevelType w:val="singleLevel"/>
    <w:tmpl w:val="25B654F3"/>
    <w:lvl w:ilvl="0" w:tentative="0">
      <w:start w:val="0"/>
      <w:numFmt w:val="bullet"/>
      <w:lvlText w:val="•"/>
      <w:lvlJc w:val="left"/>
      <w:rPr>
        <w:color w:val="3370FF"/>
      </w:rPr>
    </w:lvl>
  </w:abstractNum>
  <w:abstractNum w:abstractNumId="13">
    <w:nsid w:val="2A8F537B"/>
    <w:multiLevelType w:val="singleLevel"/>
    <w:tmpl w:val="2A8F537B"/>
    <w:lvl w:ilvl="0" w:tentative="0">
      <w:start w:val="0"/>
      <w:numFmt w:val="bullet"/>
      <w:lvlText w:val="•"/>
      <w:lvlJc w:val="left"/>
      <w:rPr>
        <w:color w:val="3370FF"/>
      </w:rPr>
    </w:lvl>
  </w:abstractNum>
  <w:abstractNum w:abstractNumId="14">
    <w:nsid w:val="4D4DC07F"/>
    <w:multiLevelType w:val="singleLevel"/>
    <w:tmpl w:val="4D4DC07F"/>
    <w:lvl w:ilvl="0" w:tentative="0">
      <w:start w:val="0"/>
      <w:numFmt w:val="bullet"/>
      <w:lvlText w:val="•"/>
      <w:lvlJc w:val="left"/>
      <w:rPr>
        <w:color w:val="3370FF"/>
      </w:rPr>
    </w:lvl>
  </w:abstractNum>
  <w:abstractNum w:abstractNumId="15">
    <w:nsid w:val="59ADCABA"/>
    <w:multiLevelType w:val="singleLevel"/>
    <w:tmpl w:val="59ADCABA"/>
    <w:lvl w:ilvl="0" w:tentative="0">
      <w:start w:val="0"/>
      <w:numFmt w:val="bullet"/>
      <w:lvlText w:val="•"/>
      <w:lvlJc w:val="left"/>
      <w:rPr>
        <w:color w:val="3370FF"/>
      </w:rPr>
    </w:lvl>
  </w:abstractNum>
  <w:abstractNum w:abstractNumId="16">
    <w:nsid w:val="5A241D34"/>
    <w:multiLevelType w:val="singleLevel"/>
    <w:tmpl w:val="5A241D34"/>
    <w:lvl w:ilvl="0" w:tentative="0">
      <w:start w:val="0"/>
      <w:numFmt w:val="bullet"/>
      <w:lvlText w:val="•"/>
      <w:lvlJc w:val="left"/>
      <w:rPr>
        <w:color w:val="3370FF"/>
      </w:rPr>
    </w:lvl>
  </w:abstractNum>
  <w:abstractNum w:abstractNumId="17">
    <w:nsid w:val="72183CF9"/>
    <w:multiLevelType w:val="singleLevel"/>
    <w:tmpl w:val="72183CF9"/>
    <w:lvl w:ilvl="0" w:tentative="0">
      <w:start w:val="0"/>
      <w:numFmt w:val="bullet"/>
      <w:lvlText w:val="•"/>
      <w:lvlJc w:val="left"/>
      <w:rPr>
        <w:color w:val="3370FF"/>
      </w:rPr>
    </w:lvl>
  </w:abstractNum>
  <w:num w:numId="1">
    <w:abstractNumId w:val="8"/>
  </w:num>
  <w:num w:numId="2">
    <w:abstractNumId w:val="4"/>
  </w:num>
  <w:num w:numId="3">
    <w:abstractNumId w:val="15"/>
  </w:num>
  <w:num w:numId="4">
    <w:abstractNumId w:val="2"/>
  </w:num>
  <w:num w:numId="5">
    <w:abstractNumId w:val="1"/>
  </w:num>
  <w:num w:numId="6">
    <w:abstractNumId w:val="10"/>
  </w:num>
  <w:num w:numId="7">
    <w:abstractNumId w:val="12"/>
  </w:num>
  <w:num w:numId="8">
    <w:abstractNumId w:val="17"/>
  </w:num>
  <w:num w:numId="9">
    <w:abstractNumId w:val="9"/>
  </w:num>
  <w:num w:numId="10">
    <w:abstractNumId w:val="0"/>
  </w:num>
  <w:num w:numId="11">
    <w:abstractNumId w:val="13"/>
  </w:num>
  <w:num w:numId="12">
    <w:abstractNumId w:val="16"/>
  </w:num>
  <w:num w:numId="13">
    <w:abstractNumId w:val="3"/>
  </w:num>
  <w:num w:numId="14">
    <w:abstractNumId w:val="14"/>
  </w:num>
  <w:num w:numId="15">
    <w:abstractNumId w:val="7"/>
  </w:num>
  <w:num w:numId="16">
    <w:abstractNumId w:val="11"/>
  </w:num>
  <w:num w:numId="17">
    <w:abstractNumId w:val="6"/>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documentProtection w:enforcement="0"/>
  <w:compat>
    <w:useFELayout/>
    <w:splitPgBreakAndParaMark/>
    <w:compatSetting w:name="compatibilityMode" w:uri="http://schemas.microsoft.com/office/word" w:val="12"/>
  </w:compat>
  <w:rsids>
    <w:rsidRoot w:val="00000000"/>
    <w:rsid w:val="3F63174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sz w:val="21"/>
      <w:szCs w:val="22"/>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Pages>
  <Words>735</Words>
  <Characters>4155</Characters>
  <TotalTime>0</TotalTime>
  <ScaleCrop>false</ScaleCrop>
  <LinksUpToDate>false</LinksUpToDate>
  <CharactersWithSpaces>4753</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2026-06-11T09:50:00Z</dcterms:created>
  <dc:creator>Apache POI</dc:creator>
  <cp:lastModifiedBy>玖</cp:lastModifiedBy>
  <dcterms:modified xsi:type="dcterms:W3CDTF">2026-06-11T09:52:17Z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{"Label":"1","ContentProducer":"001191110102MACQD9K64010000","ProduceID":"7650073026421001451","ReservedCode1":"","ContentPropagator":"","PropagateID":"","ReservedCode2":""}</vt:lpwstr>
  </property>
  <property fmtid="{D5CDD505-2E9C-101B-9397-08002B2CF9AE}" pid="3" name="KSOTemplateDocerSaveRecord">
    <vt:lpwstr>eyJoZGlkIjoiZDBhOWU4M2QwNjE1ODZlZDc3ODg1ZDQ1YjE4NTY2NzAiLCJ1c2VySWQiOiI4MjAxOTU0MTUifQ==</vt:lpwstr>
  </property>
  <property fmtid="{D5CDD505-2E9C-101B-9397-08002B2CF9AE}" pid="4" name="KSOProductBuildVer">
    <vt:lpwstr>2052-12.1.0.26895</vt:lpwstr>
  </property>
  <property fmtid="{D5CDD505-2E9C-101B-9397-08002B2CF9AE}" pid="5" name="ICV">
    <vt:lpwstr>D6B5586384F64BE7846610B80E556771_12</vt:lpwstr>
  </property>
</Properties>
</file>